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2E5A" w14:textId="77777777" w:rsidR="00FF01B8" w:rsidRDefault="00E2668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837EF" wp14:editId="7056B7CB">
            <wp:simplePos x="0" y="0"/>
            <wp:positionH relativeFrom="column">
              <wp:posOffset>19051</wp:posOffset>
            </wp:positionH>
            <wp:positionV relativeFrom="paragraph">
              <wp:posOffset>9525</wp:posOffset>
            </wp:positionV>
            <wp:extent cx="1390650" cy="1828800"/>
            <wp:effectExtent l="38100" t="38100" r="38100" b="38100"/>
            <wp:wrapTopAndBottom distT="0" distB="0"/>
            <wp:docPr id="212522301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1170F7C8" w14:textId="3C301880" w:rsidR="00FF01B8" w:rsidRDefault="00E26688">
      <w:pPr>
        <w:spacing w:after="0"/>
      </w:pPr>
      <w:r>
        <w:rPr>
          <w:b/>
          <w:sz w:val="28"/>
          <w:szCs w:val="28"/>
        </w:rPr>
        <w:t>Mary Grace</w:t>
      </w:r>
      <w:r w:rsidR="008D4158">
        <w:rPr>
          <w:b/>
          <w:sz w:val="28"/>
          <w:szCs w:val="28"/>
        </w:rPr>
        <w:t xml:space="preserve"> G. Manalo</w:t>
      </w:r>
    </w:p>
    <w:p w14:paraId="35DE7944" w14:textId="77777777" w:rsidR="00FF01B8" w:rsidRDefault="00FF01B8">
      <w:pPr>
        <w:spacing w:after="0"/>
        <w:rPr>
          <w:b/>
          <w:i/>
        </w:rPr>
      </w:pPr>
    </w:p>
    <w:p w14:paraId="32DEF5BA" w14:textId="77777777" w:rsidR="00FF01B8" w:rsidRDefault="00E26688">
      <w:pPr>
        <w:spacing w:after="0"/>
        <w:rPr>
          <w:i/>
        </w:rPr>
      </w:pPr>
      <w:r>
        <w:rPr>
          <w:b/>
          <w:i/>
        </w:rPr>
        <w:t>Address:</w:t>
      </w:r>
      <w:r>
        <w:rPr>
          <w:i/>
        </w:rPr>
        <w:t xml:space="preserve"> Blk 3 Lot 11 Orchids St., </w:t>
      </w:r>
      <w:proofErr w:type="spellStart"/>
      <w:r>
        <w:rPr>
          <w:i/>
        </w:rPr>
        <w:t>Greenheights</w:t>
      </w:r>
      <w:proofErr w:type="spellEnd"/>
      <w:r>
        <w:rPr>
          <w:i/>
        </w:rPr>
        <w:t xml:space="preserve"> Newtown, </w:t>
      </w:r>
      <w:proofErr w:type="spellStart"/>
      <w:r>
        <w:rPr>
          <w:i/>
        </w:rPr>
        <w:t>Mayamot</w:t>
      </w:r>
      <w:proofErr w:type="spellEnd"/>
      <w:r>
        <w:rPr>
          <w:i/>
        </w:rPr>
        <w:t>, Antipolo 1870, Philippines</w:t>
      </w:r>
    </w:p>
    <w:p w14:paraId="2E85BA1C" w14:textId="77777777" w:rsidR="00FF01B8" w:rsidRDefault="00E26688">
      <w:pPr>
        <w:spacing w:after="0"/>
        <w:rPr>
          <w:i/>
        </w:rPr>
      </w:pPr>
      <w:r>
        <w:rPr>
          <w:b/>
          <w:i/>
        </w:rPr>
        <w:t>Mobile Number:</w:t>
      </w:r>
      <w:r>
        <w:rPr>
          <w:i/>
        </w:rPr>
        <w:t xml:space="preserve"> (0908) 781-6274</w:t>
      </w:r>
    </w:p>
    <w:p w14:paraId="5B41A055" w14:textId="77777777" w:rsidR="00FF01B8" w:rsidRDefault="00E26688">
      <w:pPr>
        <w:spacing w:after="0"/>
        <w:rPr>
          <w:i/>
        </w:rPr>
      </w:pPr>
      <w:r>
        <w:rPr>
          <w:b/>
          <w:i/>
        </w:rPr>
        <w:t>Email Address:</w:t>
      </w:r>
      <w:r>
        <w:rPr>
          <w:i/>
        </w:rPr>
        <w:t xml:space="preserve"> mgmparero@gmail.com</w:t>
      </w:r>
    </w:p>
    <w:p w14:paraId="7FB0C6C0" w14:textId="77777777" w:rsidR="00FF01B8" w:rsidRDefault="00FF01B8">
      <w:pPr>
        <w:spacing w:after="0"/>
        <w:rPr>
          <w:i/>
        </w:rPr>
      </w:pPr>
    </w:p>
    <w:p w14:paraId="3BC5A6D7" w14:textId="77777777" w:rsidR="00FF01B8" w:rsidRDefault="00FF01B8">
      <w:pPr>
        <w:spacing w:after="0"/>
        <w:rPr>
          <w:i/>
        </w:rPr>
      </w:pPr>
    </w:p>
    <w:p w14:paraId="289E5FF2" w14:textId="2409720D" w:rsidR="00FF01B8" w:rsidRDefault="00E2668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be able to work and be a part of your prestigious company to further utilize my knowledge, skills</w:t>
      </w:r>
      <w:r w:rsidR="00126FB3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and behavior in becoming an effective member of the industry.</w:t>
      </w:r>
    </w:p>
    <w:p w14:paraId="5ED39896" w14:textId="77777777" w:rsidR="00FF01B8" w:rsidRDefault="00FF01B8">
      <w:pPr>
        <w:spacing w:after="0"/>
        <w:rPr>
          <w:i/>
        </w:rPr>
      </w:pPr>
    </w:p>
    <w:p w14:paraId="76918BE1" w14:textId="77777777" w:rsidR="00FF01B8" w:rsidRDefault="00FF01B8">
      <w:pPr>
        <w:spacing w:after="0"/>
        <w:rPr>
          <w:b/>
          <w:i/>
          <w:sz w:val="32"/>
          <w:szCs w:val="32"/>
          <w:highlight w:val="yellow"/>
        </w:rPr>
      </w:pPr>
    </w:p>
    <w:p w14:paraId="48B02B54" w14:textId="77777777" w:rsidR="00FF01B8" w:rsidRDefault="00E26688">
      <w:pPr>
        <w:spacing w:after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highlight w:val="yellow"/>
          <w:u w:val="single"/>
        </w:rPr>
        <w:t>Work Experience</w:t>
      </w:r>
    </w:p>
    <w:p w14:paraId="73A7D765" w14:textId="77777777" w:rsidR="00322628" w:rsidRDefault="00322628" w:rsidP="00322628">
      <w:pPr>
        <w:spacing w:after="0"/>
        <w:rPr>
          <w:b/>
          <w:i/>
          <w:sz w:val="32"/>
          <w:szCs w:val="32"/>
        </w:rPr>
      </w:pPr>
    </w:p>
    <w:p w14:paraId="28FC88F9" w14:textId="77777777" w:rsidR="00BF7F80" w:rsidRDefault="00BF7F80" w:rsidP="00322628">
      <w:pPr>
        <w:spacing w:after="0"/>
        <w:rPr>
          <w:b/>
          <w:i/>
          <w:sz w:val="32"/>
          <w:szCs w:val="32"/>
        </w:rPr>
      </w:pPr>
    </w:p>
    <w:p w14:paraId="00347939" w14:textId="77777777" w:rsidR="00BF7F80" w:rsidRDefault="00BF7F80" w:rsidP="00322628">
      <w:pPr>
        <w:spacing w:after="0"/>
        <w:rPr>
          <w:b/>
          <w:i/>
          <w:sz w:val="32"/>
          <w:szCs w:val="32"/>
        </w:rPr>
      </w:pPr>
    </w:p>
    <w:p w14:paraId="4733DBFD" w14:textId="77777777" w:rsidR="00BF7F80" w:rsidRDefault="00BF7F80" w:rsidP="00322628">
      <w:pPr>
        <w:spacing w:after="0"/>
        <w:rPr>
          <w:b/>
          <w:i/>
          <w:sz w:val="32"/>
          <w:szCs w:val="32"/>
        </w:rPr>
      </w:pPr>
    </w:p>
    <w:tbl>
      <w:tblPr>
        <w:tblStyle w:val="a"/>
        <w:tblW w:w="8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070"/>
        <w:gridCol w:w="2870"/>
      </w:tblGrid>
      <w:tr w:rsidR="00322628" w14:paraId="21B4D9CB" w14:textId="77777777" w:rsidTr="00EE4982">
        <w:tc>
          <w:tcPr>
            <w:tcW w:w="3685" w:type="dxa"/>
          </w:tcPr>
          <w:p w14:paraId="08FF209A" w14:textId="058E17B8" w:rsidR="00322628" w:rsidRDefault="00322628" w:rsidP="00EE49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October 1, 2022 </w:t>
            </w:r>
            <w:r w:rsidR="00776830">
              <w:rPr>
                <w:rFonts w:ascii="Calibri" w:eastAsia="Calibri" w:hAnsi="Calibri" w:cs="Calibri"/>
                <w:b/>
                <w:sz w:val="22"/>
                <w:szCs w:val="22"/>
              </w:rPr>
              <w:t>– July 2023</w:t>
            </w:r>
          </w:p>
        </w:tc>
        <w:tc>
          <w:tcPr>
            <w:tcW w:w="2070" w:type="dxa"/>
          </w:tcPr>
          <w:p w14:paraId="3E925E6E" w14:textId="60CA1702" w:rsidR="00322628" w:rsidRDefault="00322628" w:rsidP="00EE4982">
            <w:pPr>
              <w:spacing w:after="200" w:line="276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Reps LLC</w:t>
            </w:r>
          </w:p>
        </w:tc>
        <w:tc>
          <w:tcPr>
            <w:tcW w:w="2870" w:type="dxa"/>
          </w:tcPr>
          <w:p w14:paraId="70F64959" w14:textId="77777777" w:rsidR="00322628" w:rsidRPr="00322628" w:rsidRDefault="00322628" w:rsidP="00322628">
            <w:pPr>
              <w:rPr>
                <w:b/>
              </w:rPr>
            </w:pPr>
            <w:r w:rsidRPr="00322628">
              <w:rPr>
                <w:b/>
              </w:rPr>
              <w:t>45 E. City Ave #292</w:t>
            </w:r>
          </w:p>
          <w:p w14:paraId="103D7B6E" w14:textId="3368DCF6" w:rsidR="00322628" w:rsidRDefault="00322628" w:rsidP="003226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22628">
              <w:rPr>
                <w:b/>
              </w:rPr>
              <w:t>Bala Cynwyd, Pennsylvania 19004</w:t>
            </w:r>
          </w:p>
        </w:tc>
      </w:tr>
      <w:tr w:rsidR="00322628" w14:paraId="5588CF42" w14:textId="77777777" w:rsidTr="00EE4982">
        <w:tc>
          <w:tcPr>
            <w:tcW w:w="3685" w:type="dxa"/>
          </w:tcPr>
          <w:p w14:paraId="32140861" w14:textId="26B348C9" w:rsidR="00322628" w:rsidRDefault="00322628" w:rsidP="00EE49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26FB3">
              <w:rPr>
                <w:rFonts w:ascii="Calibri" w:eastAsia="Calibri" w:hAnsi="Calibri" w:cs="Calibri"/>
                <w:b/>
                <w:sz w:val="22"/>
                <w:szCs w:val="22"/>
              </w:rPr>
              <w:t>Assistant/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Associate</w:t>
            </w:r>
          </w:p>
        </w:tc>
        <w:tc>
          <w:tcPr>
            <w:tcW w:w="2070" w:type="dxa"/>
          </w:tcPr>
          <w:p w14:paraId="45923D97" w14:textId="77777777" w:rsidR="00322628" w:rsidRDefault="00322628" w:rsidP="00EE49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70" w:type="dxa"/>
          </w:tcPr>
          <w:p w14:paraId="1651A738" w14:textId="77777777" w:rsidR="00322628" w:rsidRDefault="00322628" w:rsidP="00EE498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22628" w14:paraId="3AEC6158" w14:textId="77777777" w:rsidTr="00EE4982">
        <w:tc>
          <w:tcPr>
            <w:tcW w:w="8625" w:type="dxa"/>
            <w:gridSpan w:val="3"/>
          </w:tcPr>
          <w:p w14:paraId="6C61379B" w14:textId="00CA254E" w:rsidR="00126FB3" w:rsidRDefault="00126FB3" w:rsidP="00126FB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Completes attendance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checks</w:t>
            </w: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via </w:t>
            </w:r>
            <w:proofErr w:type="spellStart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TeamLogger</w:t>
            </w:r>
            <w:proofErr w:type="spellEnd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App Reports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46E3BCFB" w14:textId="77777777" w:rsidR="00322628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Completes and sends daily reports to HR Manager, Directress, and Company owner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7C975C73" w14:textId="77777777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Updates Attendance trackers using Google Sheets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228480A3" w14:textId="77777777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Sends real-time updates and comms to employees who will do post-makeup shifts due to login/logout issues in </w:t>
            </w:r>
            <w:proofErr w:type="spellStart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TeamLogger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46B08219" w14:textId="77777777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Screens applicants via </w:t>
            </w:r>
            <w:proofErr w:type="spellStart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JazzHR</w:t>
            </w:r>
            <w:proofErr w:type="spellEnd"/>
          </w:p>
          <w:p w14:paraId="338B12E1" w14:textId="13DCAD2D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Sends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follow-up</w:t>
            </w: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emails to applicants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on</w:t>
            </w: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LinkedIn, Facebook, Craigslist, </w:t>
            </w:r>
            <w:proofErr w:type="spellStart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Hubstaff</w:t>
            </w:r>
            <w:proofErr w:type="spellEnd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Outsourcely</w:t>
            </w:r>
            <w:proofErr w:type="spellEnd"/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Online jobs</w:t>
            </w: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.ph, Expat, and more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job sites.</w:t>
            </w:r>
          </w:p>
          <w:p w14:paraId="0A741833" w14:textId="77777777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Conducts system check calls to accepted applicants if they will meet our system requirements for Remote setup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452AA7E4" w14:textId="3609763A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Conducts initial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interviews</w:t>
            </w: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with</w:t>
            </w: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potential applicants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47B510AE" w14:textId="77777777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Jumps into Zoom meetings or Slack huddles once in a while for updates and discussions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689F1B6F" w14:textId="29BB4CC3" w:rsidR="00126FB3" w:rsidRDefault="00126FB3" w:rsidP="00EE498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26FB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Sets appointments for applicant calls via Calendar and Calendly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297B0145" w14:textId="77777777" w:rsidR="00FF01B8" w:rsidRDefault="00FF01B8">
      <w:pPr>
        <w:spacing w:after="0"/>
        <w:rPr>
          <w:b/>
          <w:i/>
          <w:sz w:val="32"/>
          <w:szCs w:val="32"/>
        </w:rPr>
      </w:pPr>
    </w:p>
    <w:p w14:paraId="74A52E00" w14:textId="77777777" w:rsidR="00BF7F80" w:rsidRDefault="00BF7F80">
      <w:pPr>
        <w:spacing w:after="0"/>
        <w:rPr>
          <w:b/>
          <w:i/>
          <w:sz w:val="32"/>
          <w:szCs w:val="32"/>
        </w:rPr>
      </w:pPr>
    </w:p>
    <w:tbl>
      <w:tblPr>
        <w:tblStyle w:val="a"/>
        <w:tblW w:w="8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070"/>
        <w:gridCol w:w="2870"/>
      </w:tblGrid>
      <w:tr w:rsidR="00FF01B8" w14:paraId="43BE2B7E" w14:textId="77777777">
        <w:tc>
          <w:tcPr>
            <w:tcW w:w="3685" w:type="dxa"/>
          </w:tcPr>
          <w:p w14:paraId="6EEC800B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February 6, 2017 – December 7, 2020</w:t>
            </w:r>
          </w:p>
        </w:tc>
        <w:tc>
          <w:tcPr>
            <w:tcW w:w="2070" w:type="dxa"/>
          </w:tcPr>
          <w:p w14:paraId="01F906E2" w14:textId="77777777" w:rsidR="00FF01B8" w:rsidRDefault="00E26688">
            <w:pPr>
              <w:spacing w:after="200" w:line="276" w:lineRule="auto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RealPage Phils, Inc</w:t>
            </w:r>
          </w:p>
        </w:tc>
        <w:tc>
          <w:tcPr>
            <w:tcW w:w="2870" w:type="dxa"/>
          </w:tcPr>
          <w:p w14:paraId="4989BA55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Ortigas Center, Pasig City, Philippines</w:t>
            </w:r>
          </w:p>
        </w:tc>
      </w:tr>
      <w:tr w:rsidR="00FF01B8" w14:paraId="0DBBC3B1" w14:textId="77777777">
        <w:tc>
          <w:tcPr>
            <w:tcW w:w="3685" w:type="dxa"/>
          </w:tcPr>
          <w:p w14:paraId="71975EBB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Marketing Associate</w:t>
            </w:r>
          </w:p>
        </w:tc>
        <w:tc>
          <w:tcPr>
            <w:tcW w:w="2070" w:type="dxa"/>
          </w:tcPr>
          <w:p w14:paraId="571A2398" w14:textId="77777777" w:rsidR="00FF01B8" w:rsidRDefault="00FF01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70" w:type="dxa"/>
          </w:tcPr>
          <w:p w14:paraId="20D45B35" w14:textId="77777777" w:rsidR="00FF01B8" w:rsidRDefault="00FF01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F01B8" w14:paraId="64E19197" w14:textId="77777777">
        <w:tc>
          <w:tcPr>
            <w:tcW w:w="8625" w:type="dxa"/>
            <w:gridSpan w:val="3"/>
          </w:tcPr>
          <w:p w14:paraId="774F230E" w14:textId="3F92B760" w:rsidR="00FF01B8" w:rsidRDefault="00E266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Answer phone calls, 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emails from and do outbound calls for customers inquiring about leasing and applying for a home in the US and Canada.</w:t>
            </w:r>
          </w:p>
          <w:p w14:paraId="53FD6590" w14:textId="66A87E2C" w:rsidR="00FF01B8" w:rsidRDefault="00E266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Answer inquiries about leasing, how to apply for homes, how much are the fees and rates, discuss promotional offers 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policies of each community supported, 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ask what their preferences 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on homes they are looking for.</w:t>
            </w:r>
          </w:p>
          <w:p w14:paraId="6CBA4CA8" w14:textId="77777777" w:rsidR="006C6423" w:rsidRDefault="006C642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Set appointments for interested prospects to visit their preferred property until they sign the leasing contract.</w:t>
            </w:r>
          </w:p>
          <w:p w14:paraId="3200D469" w14:textId="305BDB6B" w:rsidR="00B52E06" w:rsidRDefault="00B52E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Upsell</w:t>
            </w:r>
            <w:r w:rsidR="0067140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 w:rsidRP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offer other properties to customers whenever they call/email about an unavailable property they’d like to lease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F01B8" w14:paraId="3899301B" w14:textId="77777777">
        <w:tc>
          <w:tcPr>
            <w:tcW w:w="3685" w:type="dxa"/>
          </w:tcPr>
          <w:p w14:paraId="3C9B38B4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May 2, 2016 – December 29, 2016</w:t>
            </w:r>
          </w:p>
        </w:tc>
        <w:tc>
          <w:tcPr>
            <w:tcW w:w="2070" w:type="dxa"/>
          </w:tcPr>
          <w:p w14:paraId="29DB2BFB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Remitly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Money Services, Inc</w:t>
            </w:r>
          </w:p>
        </w:tc>
        <w:tc>
          <w:tcPr>
            <w:tcW w:w="2870" w:type="dxa"/>
          </w:tcPr>
          <w:p w14:paraId="583306D0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Ortigas Center, Pasig City, Philippines</w:t>
            </w:r>
          </w:p>
        </w:tc>
      </w:tr>
      <w:tr w:rsidR="00FF01B8" w14:paraId="1DD0B28E" w14:textId="77777777">
        <w:tc>
          <w:tcPr>
            <w:tcW w:w="3685" w:type="dxa"/>
          </w:tcPr>
          <w:p w14:paraId="67D74DC7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Customer Service Representative</w:t>
            </w:r>
          </w:p>
        </w:tc>
        <w:tc>
          <w:tcPr>
            <w:tcW w:w="2070" w:type="dxa"/>
          </w:tcPr>
          <w:p w14:paraId="49CFC08E" w14:textId="77777777" w:rsidR="00FF01B8" w:rsidRDefault="00FF01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70" w:type="dxa"/>
          </w:tcPr>
          <w:p w14:paraId="421AEBB1" w14:textId="77777777" w:rsidR="00FF01B8" w:rsidRDefault="00FF01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F01B8" w14:paraId="4F57710D" w14:textId="77777777">
        <w:tc>
          <w:tcPr>
            <w:tcW w:w="8625" w:type="dxa"/>
            <w:gridSpan w:val="3"/>
          </w:tcPr>
          <w:p w14:paraId="6A5EAF79" w14:textId="68FD5079" w:rsidR="00FF01B8" w:rsidRDefault="00E266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Answer phone calls, emails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and chats from customers sending their remittances through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Remitly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4D7EB682" w14:textId="590520C6" w:rsidR="00FF01B8" w:rsidRDefault="00E266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Answer inquiries about the product, how it generally works, how much are the fees and rates, discuss policies &amp; 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procedures, promotional offers, etc.</w:t>
            </w:r>
          </w:p>
          <w:p w14:paraId="112C753E" w14:textId="5AB83D6E" w:rsidR="00FF01B8" w:rsidRDefault="00E266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 part of the first batch for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Remitly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captives, also did mentoring and 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extended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help needed for new hires.</w:t>
            </w:r>
          </w:p>
          <w:p w14:paraId="719A8118" w14:textId="77777777" w:rsidR="00FF01B8" w:rsidRDefault="00E266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Thank users for choosing and trusting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Remitly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as their remittance processor.</w:t>
            </w:r>
          </w:p>
        </w:tc>
      </w:tr>
      <w:tr w:rsidR="00FF01B8" w14:paraId="426F79CA" w14:textId="77777777">
        <w:tc>
          <w:tcPr>
            <w:tcW w:w="3685" w:type="dxa"/>
          </w:tcPr>
          <w:p w14:paraId="6898D8F6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January 2016 – April 2016</w:t>
            </w:r>
          </w:p>
        </w:tc>
        <w:tc>
          <w:tcPr>
            <w:tcW w:w="2070" w:type="dxa"/>
          </w:tcPr>
          <w:p w14:paraId="4AC83C05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EnfraUSA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Solutions Inc</w:t>
            </w:r>
          </w:p>
        </w:tc>
        <w:tc>
          <w:tcPr>
            <w:tcW w:w="2870" w:type="dxa"/>
          </w:tcPr>
          <w:p w14:paraId="7EB35FCF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Ortigas Center, Pasig City, Philippines</w:t>
            </w:r>
          </w:p>
        </w:tc>
      </w:tr>
      <w:tr w:rsidR="00FF01B8" w14:paraId="19200ED6" w14:textId="77777777">
        <w:tc>
          <w:tcPr>
            <w:tcW w:w="3685" w:type="dxa"/>
          </w:tcPr>
          <w:p w14:paraId="49A0224F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Executive Associate</w:t>
            </w:r>
          </w:p>
        </w:tc>
        <w:tc>
          <w:tcPr>
            <w:tcW w:w="2070" w:type="dxa"/>
          </w:tcPr>
          <w:p w14:paraId="1F510811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Boston Dental Group</w:t>
            </w:r>
          </w:p>
        </w:tc>
        <w:tc>
          <w:tcPr>
            <w:tcW w:w="2870" w:type="dxa"/>
          </w:tcPr>
          <w:p w14:paraId="02AF4614" w14:textId="77777777" w:rsidR="00FF01B8" w:rsidRDefault="00FF01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F01B8" w14:paraId="412FE739" w14:textId="77777777">
        <w:tc>
          <w:tcPr>
            <w:tcW w:w="8625" w:type="dxa"/>
            <w:gridSpan w:val="3"/>
          </w:tcPr>
          <w:p w14:paraId="7DE5E99A" w14:textId="77777777" w:rsidR="00FF01B8" w:rsidRDefault="00E2668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Completes a Dental Insurance Coverage breakdown form for patients coming in for dental services.</w:t>
            </w:r>
          </w:p>
          <w:p w14:paraId="783FC32F" w14:textId="77777777" w:rsidR="00FF01B8" w:rsidRDefault="00E2668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Does Outbound Calls to Insurance Companies for summary, coverage and eligibility inquiries</w:t>
            </w:r>
          </w:p>
        </w:tc>
      </w:tr>
      <w:tr w:rsidR="00FF01B8" w14:paraId="699A7238" w14:textId="77777777">
        <w:tc>
          <w:tcPr>
            <w:tcW w:w="3685" w:type="dxa"/>
          </w:tcPr>
          <w:p w14:paraId="65C64701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April 27, 2015 – November 2, 2015</w:t>
            </w:r>
          </w:p>
        </w:tc>
        <w:tc>
          <w:tcPr>
            <w:tcW w:w="2070" w:type="dxa"/>
          </w:tcPr>
          <w:p w14:paraId="029ECE47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Microsourcing</w:t>
            </w:r>
            <w:proofErr w:type="spellEnd"/>
          </w:p>
        </w:tc>
        <w:tc>
          <w:tcPr>
            <w:tcW w:w="2870" w:type="dxa"/>
          </w:tcPr>
          <w:p w14:paraId="215C3643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Eastwood, Quezon City, Philippines</w:t>
            </w:r>
          </w:p>
        </w:tc>
      </w:tr>
      <w:tr w:rsidR="00FF01B8" w14:paraId="1F4A14E8" w14:textId="77777777">
        <w:tc>
          <w:tcPr>
            <w:tcW w:w="3685" w:type="dxa"/>
          </w:tcPr>
          <w:p w14:paraId="651CC2EE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Customer Support Representative</w:t>
            </w:r>
          </w:p>
        </w:tc>
        <w:tc>
          <w:tcPr>
            <w:tcW w:w="2070" w:type="dxa"/>
          </w:tcPr>
          <w:p w14:paraId="1B6F1694" w14:textId="77777777" w:rsidR="00FF01B8" w:rsidRDefault="00E2668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LiveCareer</w:t>
            </w:r>
            <w:proofErr w:type="spellEnd"/>
          </w:p>
        </w:tc>
        <w:tc>
          <w:tcPr>
            <w:tcW w:w="2870" w:type="dxa"/>
          </w:tcPr>
          <w:p w14:paraId="0FC1F7BF" w14:textId="77777777" w:rsidR="00FF01B8" w:rsidRDefault="00FF01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FF01B8" w14:paraId="442211B3" w14:textId="77777777">
        <w:tc>
          <w:tcPr>
            <w:tcW w:w="8625" w:type="dxa"/>
            <w:gridSpan w:val="3"/>
          </w:tcPr>
          <w:p w14:paraId="7810DCCC" w14:textId="149D9391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Answer phone calls, emails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and chats from customers for Subscription Cancellation,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Purchasing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 Subscription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and Updating Subscription Status</w:t>
            </w:r>
          </w:p>
          <w:p w14:paraId="39F37A1E" w14:textId="77777777" w:rsidR="00FF01B8" w:rsidRDefault="00E266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Assist customers in Resume Building</w:t>
            </w:r>
          </w:p>
          <w:p w14:paraId="4CA09C0D" w14:textId="46951A6A" w:rsidR="00FF01B8" w:rsidRDefault="00E266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Assist customers in downloading </w:t>
            </w:r>
            <w:r w:rsidR="00B52E0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resumes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through MS Word, PDF, RTF, etc.</w:t>
            </w:r>
          </w:p>
          <w:p w14:paraId="488F7FAE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Thank users for choosing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LiveCareer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as their resume builder.</w:t>
            </w:r>
          </w:p>
        </w:tc>
      </w:tr>
      <w:tr w:rsidR="00FF01B8" w14:paraId="468B266E" w14:textId="77777777">
        <w:tc>
          <w:tcPr>
            <w:tcW w:w="3685" w:type="dxa"/>
          </w:tcPr>
          <w:p w14:paraId="6A0DD18C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April 1, 2013 – October 23, 2014</w:t>
            </w:r>
          </w:p>
        </w:tc>
        <w:tc>
          <w:tcPr>
            <w:tcW w:w="2070" w:type="dxa"/>
          </w:tcPr>
          <w:p w14:paraId="2F2CD9AD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UnitedHealth Group</w:t>
            </w:r>
          </w:p>
        </w:tc>
        <w:tc>
          <w:tcPr>
            <w:tcW w:w="2870" w:type="dxa"/>
          </w:tcPr>
          <w:p w14:paraId="66A79850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McKinley Hill, Fort Bonifacio, Philippines</w:t>
            </w:r>
          </w:p>
        </w:tc>
      </w:tr>
      <w:tr w:rsidR="00FF01B8" w14:paraId="44829427" w14:textId="77777777">
        <w:tc>
          <w:tcPr>
            <w:tcW w:w="3685" w:type="dxa"/>
          </w:tcPr>
          <w:p w14:paraId="634E1CFB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Senior Information Technology(IT) Helpdesk</w:t>
            </w:r>
          </w:p>
        </w:tc>
        <w:tc>
          <w:tcPr>
            <w:tcW w:w="2070" w:type="dxa"/>
          </w:tcPr>
          <w:p w14:paraId="46BAACEA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Optum Health Information Exchange</w:t>
            </w:r>
          </w:p>
        </w:tc>
        <w:tc>
          <w:tcPr>
            <w:tcW w:w="2870" w:type="dxa"/>
          </w:tcPr>
          <w:p w14:paraId="02885DC9" w14:textId="77777777" w:rsidR="00FF01B8" w:rsidRDefault="00FF01B8">
            <w:pPr>
              <w:rPr>
                <w:rFonts w:ascii="Arial" w:eastAsia="Arial" w:hAnsi="Arial" w:cs="Arial"/>
                <w:b/>
              </w:rPr>
            </w:pPr>
          </w:p>
        </w:tc>
      </w:tr>
      <w:tr w:rsidR="00FF01B8" w14:paraId="69995214" w14:textId="77777777">
        <w:tc>
          <w:tcPr>
            <w:tcW w:w="8625" w:type="dxa"/>
            <w:gridSpan w:val="3"/>
          </w:tcPr>
          <w:p w14:paraId="607A757C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Answer phone calls from hospital IT administrators or providers (such as Doctors, Nurses, etc.) and assist with their concern/s</w:t>
            </w:r>
          </w:p>
          <w:p w14:paraId="54F9F44E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Create new or update existing web tickets regarding issue/s encountered by users</w:t>
            </w:r>
          </w:p>
          <w:p w14:paraId="141E4182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Troubleshoot issues concerning users’ computer servers, login IDs and password, errors encountered during the usage of our product</w:t>
            </w:r>
          </w:p>
          <w:p w14:paraId="67C3E4A7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Conducts daily restarts of servers (includes shutting down &amp; restarting Domino/OS)</w:t>
            </w:r>
          </w:p>
          <w:p w14:paraId="6127BEFF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Ensures product implementations and upgrades are successful</w:t>
            </w:r>
          </w:p>
          <w:p w14:paraId="4CD71ECB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Understanding Electronic Date Exchanges Interface Experience</w:t>
            </w:r>
          </w:p>
          <w:p w14:paraId="73C529A2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Understanding Electronic Medical Record (EMR) Lite functionalities, workflow, dataflow and its component interaction</w:t>
            </w:r>
          </w:p>
          <w:p w14:paraId="6DDB2E86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Test servers before going live or after server upgrades (Server Validation)</w:t>
            </w:r>
          </w:p>
          <w:p w14:paraId="0C94C27E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Manage system directories: Creating accounts and granting user access</w:t>
            </w:r>
          </w:p>
          <w:p w14:paraId="41F62055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Handles interface of Lotus Notes and Domino Administrator</w:t>
            </w:r>
          </w:p>
          <w:p w14:paraId="1A433E70" w14:textId="77777777" w:rsidR="00FF01B8" w:rsidRDefault="00E2668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Be able to identify the needs in alerts for server database, Disk Space and File Aging</w:t>
            </w:r>
          </w:p>
          <w:p w14:paraId="20BF1532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Do a callback when necessary especially for issues that need immediate attention or remedy</w:t>
            </w:r>
          </w:p>
          <w:p w14:paraId="5D9CF614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Assuring administrators issue/s will be handled to the best we can.</w:t>
            </w:r>
          </w:p>
        </w:tc>
      </w:tr>
      <w:tr w:rsidR="00FF01B8" w14:paraId="46A50594" w14:textId="77777777">
        <w:tc>
          <w:tcPr>
            <w:tcW w:w="3685" w:type="dxa"/>
          </w:tcPr>
          <w:p w14:paraId="39EEA9EC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October 2012 – February 24, 2013</w:t>
            </w:r>
          </w:p>
        </w:tc>
        <w:tc>
          <w:tcPr>
            <w:tcW w:w="2070" w:type="dxa"/>
          </w:tcPr>
          <w:p w14:paraId="13F9A8B7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Sutherland Global Services</w:t>
            </w:r>
          </w:p>
        </w:tc>
        <w:tc>
          <w:tcPr>
            <w:tcW w:w="2870" w:type="dxa"/>
          </w:tcPr>
          <w:p w14:paraId="6BCA301F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 Fort, Bonifacio Global City, Taguig City, Philippines</w:t>
            </w:r>
          </w:p>
        </w:tc>
      </w:tr>
      <w:tr w:rsidR="00FF01B8" w14:paraId="5137ABD3" w14:textId="77777777">
        <w:tc>
          <w:tcPr>
            <w:tcW w:w="3685" w:type="dxa"/>
          </w:tcPr>
          <w:p w14:paraId="43D3E365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Disputes &amp; Claims Specialist</w:t>
            </w:r>
          </w:p>
        </w:tc>
        <w:tc>
          <w:tcPr>
            <w:tcW w:w="2070" w:type="dxa"/>
          </w:tcPr>
          <w:p w14:paraId="32C7715C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PayPal</w:t>
            </w:r>
          </w:p>
        </w:tc>
        <w:tc>
          <w:tcPr>
            <w:tcW w:w="2870" w:type="dxa"/>
          </w:tcPr>
          <w:p w14:paraId="28549DD5" w14:textId="77777777" w:rsidR="00FF01B8" w:rsidRDefault="00FF01B8">
            <w:pPr>
              <w:rPr>
                <w:rFonts w:ascii="Arial" w:eastAsia="Arial" w:hAnsi="Arial" w:cs="Arial"/>
                <w:b/>
              </w:rPr>
            </w:pPr>
          </w:p>
        </w:tc>
      </w:tr>
      <w:tr w:rsidR="00FF01B8" w14:paraId="06B724D3" w14:textId="77777777">
        <w:trPr>
          <w:trHeight w:val="2375"/>
        </w:trPr>
        <w:tc>
          <w:tcPr>
            <w:tcW w:w="8625" w:type="dxa"/>
            <w:gridSpan w:val="3"/>
          </w:tcPr>
          <w:p w14:paraId="5FC7A760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Answer phone calls and emails from PayPal users who have concerns on product/item purchases, filing a dispute, or updating existing dispute or claim cases</w:t>
            </w:r>
          </w:p>
          <w:p w14:paraId="096CF308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Assist users on how to file a dispute, how to communicate with either a buyer or a seller and discuss with them PayPal’s Policies and Procedures including Coverage and Eligibility</w:t>
            </w:r>
          </w:p>
          <w:p w14:paraId="33B435A0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Process users’ dispute and/or claims cases</w:t>
            </w:r>
          </w:p>
          <w:p w14:paraId="237A0C0D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Empathize with disgruntled customers specifically who lost in the claims process or lost a lot of money along the shipment process and try to do the best extra mile action for them</w:t>
            </w:r>
          </w:p>
          <w:p w14:paraId="1C2D08CB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Thank users for choosing PayPal as their payment processor.</w:t>
            </w:r>
          </w:p>
        </w:tc>
      </w:tr>
      <w:tr w:rsidR="00FF01B8" w14:paraId="557571FC" w14:textId="77777777">
        <w:tc>
          <w:tcPr>
            <w:tcW w:w="3685" w:type="dxa"/>
          </w:tcPr>
          <w:p w14:paraId="3B0C544C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August 3, 2009 – October 2012</w:t>
            </w:r>
          </w:p>
        </w:tc>
        <w:tc>
          <w:tcPr>
            <w:tcW w:w="2070" w:type="dxa"/>
          </w:tcPr>
          <w:p w14:paraId="630AB070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Sutherland Global Services</w:t>
            </w:r>
          </w:p>
        </w:tc>
        <w:tc>
          <w:tcPr>
            <w:tcW w:w="2870" w:type="dxa"/>
          </w:tcPr>
          <w:p w14:paraId="2C1FA7CF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 Fort, Bonifacio Global City, Taguig City, Philippines</w:t>
            </w:r>
          </w:p>
        </w:tc>
      </w:tr>
      <w:tr w:rsidR="00FF01B8" w14:paraId="1665F96B" w14:textId="77777777">
        <w:tc>
          <w:tcPr>
            <w:tcW w:w="3685" w:type="dxa"/>
          </w:tcPr>
          <w:p w14:paraId="15A2BCD2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Customer Service Representative</w:t>
            </w:r>
          </w:p>
        </w:tc>
        <w:tc>
          <w:tcPr>
            <w:tcW w:w="2070" w:type="dxa"/>
          </w:tcPr>
          <w:p w14:paraId="1F3289D3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PayPal</w:t>
            </w:r>
          </w:p>
        </w:tc>
        <w:tc>
          <w:tcPr>
            <w:tcW w:w="2870" w:type="dxa"/>
          </w:tcPr>
          <w:p w14:paraId="70DE2CB4" w14:textId="77777777" w:rsidR="00FF01B8" w:rsidRDefault="00FF01B8">
            <w:pPr>
              <w:rPr>
                <w:rFonts w:ascii="Arial" w:eastAsia="Arial" w:hAnsi="Arial" w:cs="Arial"/>
                <w:b/>
              </w:rPr>
            </w:pPr>
          </w:p>
        </w:tc>
      </w:tr>
      <w:tr w:rsidR="00FF01B8" w14:paraId="790CF5B0" w14:textId="77777777">
        <w:tc>
          <w:tcPr>
            <w:tcW w:w="8625" w:type="dxa"/>
            <w:gridSpan w:val="3"/>
          </w:tcPr>
          <w:p w14:paraId="611E3371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Answer phone calls and emails from new or existing PayPal users</w:t>
            </w:r>
          </w:p>
          <w:p w14:paraId="5EA87162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Gladly assist users on how to use PayPal, how it works and what benefits would they get from choosing us to process their purchase payment.</w:t>
            </w:r>
          </w:p>
          <w:p w14:paraId="7F1295B0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We go the extra mile to assist users having a lot difficulties such as old-aged, disabled (blind, deaf, mute, etc.), emergency situations or even customers that have gone through a lot of difficulties just to get a purchase done</w:t>
            </w:r>
          </w:p>
          <w:p w14:paraId="07058005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Thank users for choosing PayPal as their payment processor.</w:t>
            </w:r>
          </w:p>
        </w:tc>
      </w:tr>
      <w:tr w:rsidR="00FF01B8" w14:paraId="7151E704" w14:textId="77777777">
        <w:trPr>
          <w:trHeight w:val="354"/>
        </w:trPr>
        <w:tc>
          <w:tcPr>
            <w:tcW w:w="3685" w:type="dxa"/>
          </w:tcPr>
          <w:p w14:paraId="013A51C9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August 13, 2007 – September 5, 2008</w:t>
            </w:r>
          </w:p>
        </w:tc>
        <w:tc>
          <w:tcPr>
            <w:tcW w:w="2070" w:type="dxa"/>
          </w:tcPr>
          <w:p w14:paraId="35602E6A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TELUS International Philippines</w:t>
            </w:r>
          </w:p>
        </w:tc>
        <w:tc>
          <w:tcPr>
            <w:tcW w:w="2870" w:type="dxa"/>
          </w:tcPr>
          <w:p w14:paraId="45E15A4C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The Fort, Bonifacio Global City, Taguig City, Philippines</w:t>
            </w:r>
          </w:p>
        </w:tc>
      </w:tr>
      <w:tr w:rsidR="00FF01B8" w14:paraId="636A738B" w14:textId="77777777">
        <w:trPr>
          <w:trHeight w:val="354"/>
        </w:trPr>
        <w:tc>
          <w:tcPr>
            <w:tcW w:w="3685" w:type="dxa"/>
          </w:tcPr>
          <w:p w14:paraId="6E187F09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Customer Interaction Associate</w:t>
            </w:r>
          </w:p>
        </w:tc>
        <w:tc>
          <w:tcPr>
            <w:tcW w:w="2070" w:type="dxa"/>
          </w:tcPr>
          <w:p w14:paraId="3CCE5C67" w14:textId="77777777" w:rsidR="00FF01B8" w:rsidRDefault="00E2668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Microsoft Xbox</w:t>
            </w:r>
          </w:p>
        </w:tc>
        <w:tc>
          <w:tcPr>
            <w:tcW w:w="2870" w:type="dxa"/>
          </w:tcPr>
          <w:p w14:paraId="53BBB70E" w14:textId="77777777" w:rsidR="00FF01B8" w:rsidRDefault="00FF01B8">
            <w:pPr>
              <w:rPr>
                <w:rFonts w:ascii="Arial" w:eastAsia="Arial" w:hAnsi="Arial" w:cs="Arial"/>
                <w:b/>
              </w:rPr>
            </w:pPr>
          </w:p>
        </w:tc>
      </w:tr>
      <w:tr w:rsidR="00FF01B8" w14:paraId="50040A04" w14:textId="77777777">
        <w:trPr>
          <w:trHeight w:val="354"/>
        </w:trPr>
        <w:tc>
          <w:tcPr>
            <w:tcW w:w="8625" w:type="dxa"/>
            <w:gridSpan w:val="3"/>
          </w:tcPr>
          <w:p w14:paraId="05DF8513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Answer phone calls from new or existing Microsoft Xbox customers</w:t>
            </w:r>
          </w:p>
          <w:p w14:paraId="6B00DAC1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Troubleshoot hardware console defects</w:t>
            </w:r>
          </w:p>
          <w:p w14:paraId="1AD50870" w14:textId="77777777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Assist customers to learn how to do basic troubleshooting steps on their own in order for them not to go through a long waiting phone line just to get in touch with a specialist</w:t>
            </w:r>
          </w:p>
          <w:p w14:paraId="79B180EF" w14:textId="677F5716" w:rsidR="00FF01B8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Create shipping tickets for them whenever </w:t>
            </w:r>
            <w:r w:rsidR="00126FB3">
              <w:rPr>
                <w:rFonts w:ascii="Arial" w:eastAsia="Arial" w:hAnsi="Arial" w:cs="Arial"/>
                <w:color w:val="000000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</w:rPr>
              <w:t>console needs to be returned or repaired to the Service Center</w:t>
            </w:r>
          </w:p>
          <w:p w14:paraId="1FB586FC" w14:textId="77777777" w:rsidR="00FF01B8" w:rsidRPr="00B52E06" w:rsidRDefault="00E2668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Thank customers for seeking our help and for using our product.</w:t>
            </w:r>
          </w:p>
          <w:p w14:paraId="29AC3F45" w14:textId="0C708FDD" w:rsidR="00B52E06" w:rsidRPr="00B52E06" w:rsidRDefault="00B52E0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</w:rPr>
            </w:pPr>
            <w:r w:rsidRPr="00B52E06">
              <w:rPr>
                <w:rFonts w:ascii="Arial" w:eastAsia="Arial" w:hAnsi="Arial" w:cs="Arial"/>
                <w:bCs/>
                <w:color w:val="000000"/>
              </w:rPr>
              <w:t xml:space="preserve">Towards the end of a conversation with a potential contact, we upsell </w:t>
            </w:r>
            <w:r w:rsidR="00A044E9">
              <w:rPr>
                <w:rFonts w:ascii="Arial" w:eastAsia="Arial" w:hAnsi="Arial" w:cs="Arial"/>
                <w:bCs/>
                <w:color w:val="000000"/>
              </w:rPr>
              <w:t>consoles</w:t>
            </w:r>
            <w:r w:rsidRPr="00B52E06">
              <w:rPr>
                <w:rFonts w:ascii="Arial" w:eastAsia="Arial" w:hAnsi="Arial" w:cs="Arial"/>
                <w:bCs/>
                <w:color w:val="000000"/>
              </w:rPr>
              <w:t>, games, or accessories that are up for promos or if customers are eligible for the said program</w:t>
            </w:r>
          </w:p>
        </w:tc>
      </w:tr>
    </w:tbl>
    <w:p w14:paraId="46010E06" w14:textId="77777777" w:rsidR="00FF01B8" w:rsidRDefault="00FF01B8"/>
    <w:p w14:paraId="3183DC77" w14:textId="77777777" w:rsidR="00FF01B8" w:rsidRDefault="00FF01B8"/>
    <w:p w14:paraId="2AAD845E" w14:textId="77777777" w:rsidR="00FF01B8" w:rsidRDefault="00E26688">
      <w:pPr>
        <w:spacing w:after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highlight w:val="yellow"/>
          <w:u w:val="single"/>
        </w:rPr>
        <w:t>Educational Background</w:t>
      </w:r>
    </w:p>
    <w:tbl>
      <w:tblPr>
        <w:tblStyle w:val="a0"/>
        <w:tblW w:w="8635" w:type="dxa"/>
        <w:tblLayout w:type="fixed"/>
        <w:tblLook w:val="0000" w:firstRow="0" w:lastRow="0" w:firstColumn="0" w:lastColumn="0" w:noHBand="0" w:noVBand="0"/>
      </w:tblPr>
      <w:tblGrid>
        <w:gridCol w:w="1885"/>
        <w:gridCol w:w="3751"/>
        <w:gridCol w:w="2999"/>
      </w:tblGrid>
      <w:tr w:rsidR="00FF01B8" w14:paraId="1F905E35" w14:textId="77777777">
        <w:tc>
          <w:tcPr>
            <w:tcW w:w="1885" w:type="dxa"/>
          </w:tcPr>
          <w:p w14:paraId="5DBBDA65" w14:textId="77777777" w:rsidR="00FF01B8" w:rsidRDefault="00E2668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November 2008</w:t>
            </w:r>
          </w:p>
        </w:tc>
        <w:tc>
          <w:tcPr>
            <w:tcW w:w="3751" w:type="dxa"/>
          </w:tcPr>
          <w:p w14:paraId="0AB64324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Professional Regulation Commission</w:t>
            </w:r>
          </w:p>
          <w:p w14:paraId="0D3A6584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Passed: Nursing Licensure Exam</w:t>
            </w:r>
          </w:p>
          <w:p w14:paraId="14553D97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License Number: 0527892</w:t>
            </w:r>
          </w:p>
        </w:tc>
        <w:tc>
          <w:tcPr>
            <w:tcW w:w="2999" w:type="dxa"/>
          </w:tcPr>
          <w:p w14:paraId="25288C05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Sampaloc, Manila, Philippines</w:t>
            </w:r>
          </w:p>
        </w:tc>
      </w:tr>
      <w:tr w:rsidR="00FF01B8" w14:paraId="496198F7" w14:textId="77777777">
        <w:tc>
          <w:tcPr>
            <w:tcW w:w="1885" w:type="dxa"/>
          </w:tcPr>
          <w:p w14:paraId="007AC830" w14:textId="77777777" w:rsidR="00FF01B8" w:rsidRDefault="00E26688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Registered Nurse</w:t>
            </w:r>
          </w:p>
          <w:p w14:paraId="015E7E02" w14:textId="77777777" w:rsidR="00FF01B8" w:rsidRDefault="00FF01B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51" w:type="dxa"/>
          </w:tcPr>
          <w:p w14:paraId="2114B86B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2F3ADDC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679093C7" w14:textId="77777777">
        <w:tc>
          <w:tcPr>
            <w:tcW w:w="1885" w:type="dxa"/>
          </w:tcPr>
          <w:p w14:paraId="40361B3A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76BF59FB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25EBF130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2152B786" w14:textId="77777777">
        <w:tc>
          <w:tcPr>
            <w:tcW w:w="1885" w:type="dxa"/>
          </w:tcPr>
          <w:p w14:paraId="3082353A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0E40B62F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6399E0D2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15E898CB" w14:textId="77777777">
        <w:tc>
          <w:tcPr>
            <w:tcW w:w="1885" w:type="dxa"/>
          </w:tcPr>
          <w:p w14:paraId="7D576458" w14:textId="77777777" w:rsidR="00FF01B8" w:rsidRDefault="00E2668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2005-2007</w:t>
            </w:r>
          </w:p>
        </w:tc>
        <w:tc>
          <w:tcPr>
            <w:tcW w:w="3751" w:type="dxa"/>
          </w:tcPr>
          <w:p w14:paraId="1CB18DEA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Perpetual Help College of Manila</w:t>
            </w:r>
          </w:p>
          <w:p w14:paraId="629E0CEB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(College to Graduate level; 3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>-4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year)</w:t>
            </w:r>
          </w:p>
        </w:tc>
        <w:tc>
          <w:tcPr>
            <w:tcW w:w="2999" w:type="dxa"/>
          </w:tcPr>
          <w:p w14:paraId="64627513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Sampaloc, Manila, Philippines</w:t>
            </w:r>
          </w:p>
          <w:p w14:paraId="303254B6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0024B9C4" w14:textId="77777777">
        <w:tc>
          <w:tcPr>
            <w:tcW w:w="1885" w:type="dxa"/>
          </w:tcPr>
          <w:p w14:paraId="173A72F3" w14:textId="77777777" w:rsidR="00FF01B8" w:rsidRDefault="00E26688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Bachelor of Science in Nursing</w:t>
            </w:r>
          </w:p>
          <w:p w14:paraId="38588787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3754292D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2BC62BD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3590BFCA" w14:textId="77777777">
        <w:tc>
          <w:tcPr>
            <w:tcW w:w="1885" w:type="dxa"/>
          </w:tcPr>
          <w:p w14:paraId="1BF74429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77FE95F6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7CCBE803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3EB72E45" w14:textId="77777777">
        <w:tc>
          <w:tcPr>
            <w:tcW w:w="1885" w:type="dxa"/>
          </w:tcPr>
          <w:p w14:paraId="0D1A763D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4B36AB12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0B4DB220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5C34F684" w14:textId="77777777">
        <w:tc>
          <w:tcPr>
            <w:tcW w:w="1885" w:type="dxa"/>
          </w:tcPr>
          <w:p w14:paraId="1476F332" w14:textId="77777777" w:rsidR="00FF01B8" w:rsidRDefault="00E26688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2003-2005</w:t>
            </w:r>
          </w:p>
        </w:tc>
        <w:tc>
          <w:tcPr>
            <w:tcW w:w="3751" w:type="dxa"/>
          </w:tcPr>
          <w:p w14:paraId="325C8EBF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Centro Escolar University</w:t>
            </w:r>
          </w:p>
          <w:p w14:paraId="23DCF71A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(College level; 1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-3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year)</w:t>
            </w:r>
          </w:p>
        </w:tc>
        <w:tc>
          <w:tcPr>
            <w:tcW w:w="2999" w:type="dxa"/>
          </w:tcPr>
          <w:p w14:paraId="6F005F62" w14:textId="77777777" w:rsidR="00FF01B8" w:rsidRDefault="00E2668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Mendiola, Manila, Philippines</w:t>
            </w:r>
          </w:p>
          <w:p w14:paraId="7C58229E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1B8" w14:paraId="0A00B93E" w14:textId="77777777">
        <w:tc>
          <w:tcPr>
            <w:tcW w:w="1885" w:type="dxa"/>
          </w:tcPr>
          <w:p w14:paraId="76E20E2D" w14:textId="77777777" w:rsidR="00FF01B8" w:rsidRDefault="00E26688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Bachelor of Science in Nursing</w:t>
            </w:r>
          </w:p>
        </w:tc>
        <w:tc>
          <w:tcPr>
            <w:tcW w:w="3751" w:type="dxa"/>
          </w:tcPr>
          <w:p w14:paraId="5946C796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99" w:type="dxa"/>
          </w:tcPr>
          <w:p w14:paraId="0B63AD6C" w14:textId="77777777" w:rsidR="00FF01B8" w:rsidRDefault="00FF01B8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8CF2B0E" w14:textId="77777777" w:rsidR="00FF01B8" w:rsidRDefault="00FF01B8"/>
    <w:p w14:paraId="1EB3A662" w14:textId="77777777" w:rsidR="00FF01B8" w:rsidRDefault="00FF01B8">
      <w:pPr>
        <w:spacing w:after="0"/>
        <w:rPr>
          <w:b/>
          <w:i/>
          <w:sz w:val="32"/>
          <w:szCs w:val="32"/>
          <w:highlight w:val="yellow"/>
        </w:rPr>
      </w:pPr>
    </w:p>
    <w:p w14:paraId="6D02BF76" w14:textId="77777777" w:rsidR="00FF01B8" w:rsidRDefault="00E26688">
      <w:pPr>
        <w:spacing w:after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highlight w:val="yellow"/>
          <w:u w:val="single"/>
        </w:rPr>
        <w:t>Skills</w:t>
      </w:r>
    </w:p>
    <w:p w14:paraId="1D78051C" w14:textId="77777777" w:rsidR="00FF01B8" w:rsidRDefault="00FF01B8">
      <w:pPr>
        <w:spacing w:after="0"/>
        <w:rPr>
          <w:b/>
          <w:i/>
        </w:rPr>
      </w:pPr>
    </w:p>
    <w:p w14:paraId="2068C4BD" w14:textId="77777777" w:rsidR="00FF01B8" w:rsidRDefault="00E2668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240" w:lineRule="auto"/>
        <w:rPr>
          <w:color w:val="000000"/>
        </w:rPr>
      </w:pPr>
      <w:r>
        <w:rPr>
          <w:color w:val="333333"/>
          <w:shd w:val="clear" w:color="auto" w:fill="EFEFEF"/>
        </w:rPr>
        <w:t>Adaptable, positive, resilient, open to new ideas</w:t>
      </w:r>
    </w:p>
    <w:p w14:paraId="6E5037A9" w14:textId="77777777" w:rsidR="00FF01B8" w:rsidRDefault="00E266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240" w:lineRule="auto"/>
        <w:rPr>
          <w:color w:val="000000"/>
        </w:rPr>
      </w:pPr>
      <w:r>
        <w:rPr>
          <w:color w:val="000000"/>
        </w:rPr>
        <w:t>Proven to be a relationship-builder with great interpersonal skills</w:t>
      </w:r>
    </w:p>
    <w:p w14:paraId="167446A8" w14:textId="77777777" w:rsidR="00FF01B8" w:rsidRDefault="00E266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240" w:lineRule="auto"/>
        <w:rPr>
          <w:color w:val="000000"/>
        </w:rPr>
      </w:pPr>
      <w:r>
        <w:rPr>
          <w:color w:val="000000"/>
        </w:rPr>
        <w:t>I'm an individual whose strengths include cultural sensitivity and an ability to build rapport with a diverse workforce in a multicultural environment</w:t>
      </w:r>
    </w:p>
    <w:p w14:paraId="05C7630B" w14:textId="77777777" w:rsidR="00FF01B8" w:rsidRDefault="00E266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240" w:lineRule="auto"/>
        <w:rPr>
          <w:color w:val="000000"/>
        </w:rPr>
      </w:pPr>
      <w:r>
        <w:rPr>
          <w:color w:val="000000"/>
        </w:rPr>
        <w:t>Dependable, dedicated, responsible contributor committed to excellence and success</w:t>
      </w:r>
    </w:p>
    <w:p w14:paraId="4D2F3F76" w14:textId="77777777" w:rsidR="00FF01B8" w:rsidRDefault="00E266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240" w:lineRule="auto"/>
        <w:rPr>
          <w:color w:val="000000"/>
        </w:rPr>
      </w:pPr>
      <w:r>
        <w:rPr>
          <w:color w:val="000000"/>
        </w:rPr>
        <w:t>Positive attitude, enthusiastic, eager to meet challenges and demonstrate willingness to learn new things</w:t>
      </w:r>
    </w:p>
    <w:p w14:paraId="28A280FD" w14:textId="77777777" w:rsidR="00FF01B8" w:rsidRDefault="00E266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spacing w:after="0" w:line="240" w:lineRule="auto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Fluent in English</w:t>
      </w:r>
    </w:p>
    <w:p w14:paraId="7D3B2BB2" w14:textId="77777777" w:rsidR="00FF01B8" w:rsidRDefault="00FF01B8"/>
    <w:sectPr w:rsidR="00FF01B8" w:rsidSect="00FF01B8">
      <w:pgSz w:w="12240" w:h="1872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A53"/>
    <w:multiLevelType w:val="multilevel"/>
    <w:tmpl w:val="D158C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8B50BE"/>
    <w:multiLevelType w:val="multilevel"/>
    <w:tmpl w:val="8CC04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FC7B34"/>
    <w:multiLevelType w:val="multilevel"/>
    <w:tmpl w:val="7A0A3BA6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C26464"/>
    <w:multiLevelType w:val="multilevel"/>
    <w:tmpl w:val="538C9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F912A6"/>
    <w:multiLevelType w:val="multilevel"/>
    <w:tmpl w:val="CE4E2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D3423D5"/>
    <w:multiLevelType w:val="multilevel"/>
    <w:tmpl w:val="DAAC9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7112785">
    <w:abstractNumId w:val="4"/>
  </w:num>
  <w:num w:numId="2" w16cid:durableId="1690595648">
    <w:abstractNumId w:val="2"/>
  </w:num>
  <w:num w:numId="3" w16cid:durableId="1143738768">
    <w:abstractNumId w:val="5"/>
  </w:num>
  <w:num w:numId="4" w16cid:durableId="2123448976">
    <w:abstractNumId w:val="1"/>
  </w:num>
  <w:num w:numId="5" w16cid:durableId="1652173218">
    <w:abstractNumId w:val="3"/>
  </w:num>
  <w:num w:numId="6" w16cid:durableId="124029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B8"/>
    <w:rsid w:val="00126FB3"/>
    <w:rsid w:val="00322628"/>
    <w:rsid w:val="00671408"/>
    <w:rsid w:val="006C6423"/>
    <w:rsid w:val="00776830"/>
    <w:rsid w:val="008D4158"/>
    <w:rsid w:val="00A044E9"/>
    <w:rsid w:val="00B14499"/>
    <w:rsid w:val="00B52E06"/>
    <w:rsid w:val="00BF7F80"/>
    <w:rsid w:val="00CC4D5A"/>
    <w:rsid w:val="00E26688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3AE4"/>
  <w15:docId w15:val="{F318F02F-4ECC-4B5B-9F6F-FF54284C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6E"/>
  </w:style>
  <w:style w:type="paragraph" w:styleId="Heading1">
    <w:name w:val="heading 1"/>
    <w:basedOn w:val="Normal1"/>
    <w:next w:val="Normal1"/>
    <w:rsid w:val="00FF01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F01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F01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F01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F01B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F01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F01B8"/>
  </w:style>
  <w:style w:type="paragraph" w:styleId="Title">
    <w:name w:val="Title"/>
    <w:basedOn w:val="Normal1"/>
    <w:next w:val="Normal1"/>
    <w:rsid w:val="00FF01B8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65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6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itle">
    <w:name w:val="Subtitle"/>
    <w:basedOn w:val="Normal"/>
    <w:next w:val="Normal"/>
    <w:rsid w:val="00FF01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0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sid w:val="00FF01B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ux5At1sruybhriZj8BOLOMw+g==">AMUW2mU5x/xPNlz75bSofnHobclSySTzXMrFiy53/+RwiLobXkbp2s3KEPnMGo/r5d0HAVkCnF/8kLVg2zprGNe9j5fpudho0TxOBswFkhckEo5p8h1V9/1CJyYJ5XjQCpfA5a+F7NKy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REDMCQUEEN</dc:creator>
  <cp:lastModifiedBy>Roderick</cp:lastModifiedBy>
  <cp:revision>2</cp:revision>
  <dcterms:created xsi:type="dcterms:W3CDTF">2023-08-28T02:27:00Z</dcterms:created>
  <dcterms:modified xsi:type="dcterms:W3CDTF">2023-08-28T02:27:00Z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008f23760659a9138a3388c58e0bf9fc215b333e6a75f22cf5c3b2bafe8a291b</vt:lpwstr>
  </property>
</Properties>
</file>